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PingFang SC" w:hAnsi="PingFang SC" w:eastAsia="PingFang SC"/>
          <w:b/>
          <w:color w:val="0F172A"/>
          <w:sz w:val="44"/>
        </w:rPr>
        <w:t>Northbri 标准交付物 Word 模板包</w:t>
      </w:r>
    </w:p>
    <w:p>
      <w:r>
        <w:rPr>
          <w:rFonts w:ascii="PingFang SC" w:hAnsi="PingFang SC" w:eastAsia="PingFang SC"/>
          <w:b w:val="0"/>
          <w:sz w:val="24"/>
        </w:rPr>
        <w:t>路径：templates/docx/</w:t>
      </w:r>
    </w:p>
    <w:p>
      <w:r>
        <w:rPr>
          <w:rFonts w:ascii="PingFang SC" w:hAnsi="PingFang SC" w:eastAsia="PingFang SC"/>
          <w:b w:val="0"/>
          <w:sz w:val="22"/>
        </w:rPr>
      </w:r>
    </w:p>
    <w:p>
      <w:r>
        <w:rPr>
          <w:rFonts w:ascii="PingFang SC" w:hAnsi="PingFang SC" w:eastAsia="PingFang SC"/>
          <w:b/>
          <w:color w:val="0B3D5C"/>
          <w:sz w:val="32"/>
        </w:rPr>
        <w:t>文件清单</w:t>
      </w:r>
    </w:p>
    <w:p>
      <w:r>
        <w:rPr>
          <w:rFonts w:ascii="PingFang SC" w:hAnsi="PingFang SC" w:eastAsia="PingFang SC"/>
          <w:b w:val="0"/>
          <w:sz w:val="22"/>
        </w:rPr>
        <w:t>• 01-政策环境评估报告.docx</w:t>
      </w:r>
    </w:p>
    <w:p>
      <w:r>
        <w:rPr>
          <w:rFonts w:ascii="PingFang SC" w:hAnsi="PingFang SC" w:eastAsia="PingFang SC"/>
          <w:b w:val="0"/>
          <w:sz w:val="22"/>
        </w:rPr>
        <w:t>• 02-政府沟通策略方案.docx</w:t>
      </w:r>
    </w:p>
    <w:p>
      <w:r>
        <w:rPr>
          <w:rFonts w:ascii="PingFang SC" w:hAnsi="PingFang SC" w:eastAsia="PingFang SC"/>
          <w:b w:val="0"/>
          <w:sz w:val="22"/>
        </w:rPr>
        <w:t>• 03-政策预警月报季报.docx</w:t>
      </w:r>
    </w:p>
    <w:p>
      <w:r>
        <w:rPr>
          <w:rFonts w:ascii="PingFang SC" w:hAnsi="PingFang SC" w:eastAsia="PingFang SC"/>
          <w:b w:val="0"/>
          <w:sz w:val="22"/>
        </w:rPr>
        <w:t>• 04-合规风险矩阵.docx</w:t>
      </w:r>
    </w:p>
    <w:p>
      <w:r>
        <w:rPr>
          <w:rFonts w:ascii="PingFang SC" w:hAnsi="PingFang SC" w:eastAsia="PingFang SC"/>
          <w:b w:val="0"/>
          <w:sz w:val="22"/>
        </w:rPr>
        <w:t>• 05-专项合规审查报告.docx</w:t>
      </w:r>
    </w:p>
    <w:p>
      <w:r>
        <w:rPr>
          <w:rFonts w:ascii="PingFang SC" w:hAnsi="PingFang SC" w:eastAsia="PingFang SC"/>
          <w:b w:val="0"/>
          <w:sz w:val="22"/>
        </w:rPr>
        <w:t>• 06-合规操作手册SOP.docx</w:t>
      </w:r>
    </w:p>
    <w:p>
      <w:r>
        <w:rPr>
          <w:rFonts w:ascii="PingFang SC" w:hAnsi="PingFang SC" w:eastAsia="PingFang SC"/>
          <w:b w:val="0"/>
          <w:sz w:val="22"/>
        </w:rPr>
        <w:t>• 07-内控框架设计报告.docx</w:t>
      </w:r>
    </w:p>
    <w:p>
      <w:r>
        <w:rPr>
          <w:rFonts w:ascii="PingFang SC" w:hAnsi="PingFang SC" w:eastAsia="PingFang SC"/>
          <w:b w:val="0"/>
          <w:sz w:val="22"/>
        </w:rPr>
        <w:t>• 08-流程图与RCM风险控制矩阵.docx</w:t>
      </w:r>
    </w:p>
    <w:p>
      <w:r>
        <w:rPr>
          <w:rFonts w:ascii="PingFang SC" w:hAnsi="PingFang SC" w:eastAsia="PingFang SC"/>
          <w:b w:val="0"/>
          <w:sz w:val="22"/>
        </w:rPr>
        <w:t>• 09-内控测试底稿.docx</w:t>
      </w:r>
    </w:p>
    <w:p>
      <w:r>
        <w:rPr>
          <w:rFonts w:ascii="PingFang SC" w:hAnsi="PingFang SC" w:eastAsia="PingFang SC"/>
          <w:b w:val="0"/>
          <w:sz w:val="22"/>
        </w:rPr>
        <w:t>• 10-AI应用现状诊断报告.docx</w:t>
      </w:r>
    </w:p>
    <w:p>
      <w:r>
        <w:rPr>
          <w:rFonts w:ascii="PingFang SC" w:hAnsi="PingFang SC" w:eastAsia="PingFang SC"/>
          <w:b w:val="0"/>
          <w:sz w:val="22"/>
        </w:rPr>
        <w:t>• 11-分层培训课程体系.docx</w:t>
      </w:r>
    </w:p>
    <w:p>
      <w:r>
        <w:rPr>
          <w:rFonts w:ascii="PingFang SC" w:hAnsi="PingFang SC" w:eastAsia="PingFang SC"/>
          <w:b w:val="0"/>
          <w:sz w:val="22"/>
        </w:rPr>
        <w:t>• 12-转型路线图与试点效果评估.docx</w:t>
      </w:r>
    </w:p>
    <w:p>
      <w:r>
        <w:rPr>
          <w:rFonts w:ascii="PingFang SC" w:hAnsi="PingFang SC" w:eastAsia="PingFang SC"/>
          <w:b w:val="0"/>
          <w:sz w:val="22"/>
        </w:rPr>
      </w:r>
    </w:p>
    <w:p>
      <w:r>
        <w:rPr>
          <w:rFonts w:ascii="PingFang SC" w:hAnsi="PingFang SC" w:eastAsia="PingFang SC"/>
          <w:b/>
          <w:color w:val="0B3D5C"/>
          <w:sz w:val="32"/>
        </w:rPr>
        <w:t>使用说明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先改封面元信息（客户、辖区、版本、执笔人、复核人）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所有【填写】占位符替换为实际内容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正式发出前勾选验收 Checklist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涉及法律意见时，固定写法：法律意见由本地持牌律师出具；本机构负责梳理、协调与项目管理</w:t>
      </w:r>
    </w:p>
    <w:p>
      <w:r>
        <w:rPr>
          <w:rFonts w:ascii="PingFang SC" w:hAnsi="PingFang SC" w:eastAsia="PingFang SC"/>
          <w:b w:val="0"/>
          <w:sz w:val="22"/>
        </w:rPr>
      </w:r>
    </w:p>
    <w:p>
      <w:r>
        <w:rPr>
          <w:rFonts w:ascii="PingFang SC" w:hAnsi="PingFang SC" w:eastAsia="PingFang SC"/>
          <w:b w:val="0"/>
          <w:color w:val="64748B"/>
          <w:sz w:val="20"/>
        </w:rPr>
        <w:t>同步页面：index.html（交付标准） / deliverable-templates.html（目录页）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