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Northbri · 标准交付物模板</w:t>
      </w:r>
    </w:p>
    <w:p>
      <w:r>
        <w:rPr>
          <w:rFonts w:ascii="PingFang SC" w:hAnsi="PingFang SC" w:eastAsia="PingFang SC"/>
          <w:b/>
          <w:color w:val="B07D3A"/>
          <w:sz w:val="24"/>
        </w:rPr>
        <w:t>政企关系 · 01</w:t>
      </w:r>
    </w:p>
    <w:p>
      <w:r>
        <w:rPr>
          <w:rFonts w:ascii="PingFang SC" w:hAnsi="PingFang SC" w:eastAsia="PingFang SC"/>
          <w:b w:val="0"/>
          <w:sz w:val="22"/>
        </w:rPr>
      </w:r>
    </w:p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《政策环境评估报告》</w:t>
      </w:r>
    </w:p>
    <w:p>
      <w:r>
        <w:rPr>
          <w:rFonts w:ascii="PingFang SC" w:hAnsi="PingFang SC" w:eastAsia="PingFang SC"/>
          <w:b w:val="0"/>
          <w:color w:val="475569"/>
          <w:sz w:val="24"/>
        </w:rPr>
        <w:t>政策图谱 + 关键条款 + 变动趋势 + 对客户业务的影响判断</w:t>
      </w:r>
    </w:p>
    <w:p>
      <w:r>
        <w:rPr>
          <w:rFonts w:ascii="PingFang SC" w:hAnsi="PingFang SC" w:eastAsia="PingFang SC"/>
          <w:b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客户名称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项目阶段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【中国端 / 海外端】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覆盖司法辖区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版本号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V1.0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保密等级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Confidential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执笔人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复核人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日期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下次复盘日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</w:tbl>
    <w:p/>
    <w:p>
      <w:r>
        <w:rPr>
          <w:rFonts w:ascii="PingFang SC" w:hAnsi="PingFang SC" w:eastAsia="PingFang SC"/>
          <w:b w:val="0"/>
          <w:color w:val="64748B"/>
          <w:sz w:val="20"/>
        </w:rPr>
        <w:t>统一结构提醒：执行摘要 → 影响分析 → 行动建议 → 验收标准</w:t>
      </w:r>
    </w:p>
    <w:p>
      <w:r>
        <w:br w:type="page"/>
      </w:r>
    </w:p>
    <w:p>
      <w:r>
        <w:rPr>
          <w:rFonts w:ascii="PingFang SC" w:hAnsi="PingFang SC" w:eastAsia="PingFang SC"/>
          <w:b/>
          <w:color w:val="0B3D5C"/>
          <w:sz w:val="32"/>
        </w:rPr>
        <w:t>1. 执行摘要（1页）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本期核心结论：【填写】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最高优先级事项（红黄绿）：【填写】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建议本周/本月立即动作：【填写】</w:t>
      </w:r>
    </w:p>
    <w:p>
      <w:r>
        <w:rPr>
          <w:rFonts w:ascii="PingFang SC" w:hAnsi="PingFang SC" w:eastAsia="PingFang SC"/>
          <w:b/>
          <w:color w:val="0B3D5C"/>
          <w:sz w:val="32"/>
        </w:rPr>
        <w:t>2. 政策图谱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主管部门 / 监管机构：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关键法规 / 政策文件：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当前可用窗口：</w:t>
      </w:r>
    </w:p>
    <w:p>
      <w:r>
        <w:rPr>
          <w:rFonts w:ascii="PingFang SC" w:hAnsi="PingFang SC" w:eastAsia="PingFang SC"/>
          <w:b/>
          <w:color w:val="0B3D5C"/>
          <w:sz w:val="32"/>
        </w:rPr>
        <w:t>3. 关键条款梳理（仅保留与客户业务相关项）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条款 A：【条款摘要】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条款 B：【条款摘要】</w:t>
      </w:r>
    </w:p>
    <w:p>
      <w:r>
        <w:rPr>
          <w:rFonts w:ascii="PingFang SC" w:hAnsi="PingFang SC" w:eastAsia="PingFang SC"/>
          <w:b/>
          <w:color w:val="0B3D5C"/>
          <w:sz w:val="32"/>
        </w:rPr>
        <w:t>4. 影响判断表（必填，不可空）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条款/窗口</w:t>
            </w:r>
          </w:p>
        </w:tc>
        <w:tc>
          <w:tcPr>
            <w:tcW w:type="dxa" w:w="2160"/>
          </w:tcPr>
          <w:p>
            <w:r>
              <w:t>对客户业务的影响判断</w:t>
            </w:r>
          </w:p>
        </w:tc>
        <w:tc>
          <w:tcPr>
            <w:tcW w:type="dxa" w:w="2160"/>
          </w:tcPr>
          <w:p>
            <w:r>
              <w:t>风险等级（红黄绿）</w:t>
            </w:r>
          </w:p>
        </w:tc>
        <w:tc>
          <w:tcPr>
            <w:tcW w:type="dxa" w:w="2160"/>
          </w:tcPr>
          <w:p>
            <w:r>
              <w:t>优先级</w:t>
            </w:r>
          </w:p>
        </w:tc>
      </w:tr>
      <w:tr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  <w:tr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  <w:tr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</w:tbl>
    <w:p/>
    <w:p>
      <w:r>
        <w:rPr>
          <w:rFonts w:ascii="PingFang SC" w:hAnsi="PingFang SC" w:eastAsia="PingFang SC"/>
          <w:b/>
          <w:color w:val="0B3D5C"/>
          <w:sz w:val="32"/>
        </w:rPr>
        <w:t>5. 变动趋势预判（3–12个月）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可能收紧：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可能放开：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客户需提前准备：</w:t>
      </w:r>
    </w:p>
    <w:p>
      <w:r>
        <w:rPr>
          <w:rFonts w:ascii="PingFang SC" w:hAnsi="PingFang SC" w:eastAsia="PingFang SC"/>
          <w:b/>
          <w:color w:val="0B3D5C"/>
          <w:sz w:val="32"/>
        </w:rPr>
        <w:t>6. 行动建议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做什么：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谁负责：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何时完成：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所需资源 / 本地支持：</w:t>
      </w:r>
    </w:p>
    <w:p>
      <w:r>
        <w:rPr>
          <w:rFonts w:ascii="PingFang SC" w:hAnsi="PingFang SC" w:eastAsia="PingFang SC"/>
          <w:b/>
          <w:color w:val="0B3D5C"/>
          <w:sz w:val="32"/>
        </w:rPr>
        <w:t>7. 附录：来源列表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来源 1（官方链接/文号）：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来源 2：</w:t>
      </w:r>
    </w:p>
    <w:p>
      <w:r>
        <w:rPr>
          <w:rFonts w:ascii="PingFang SC" w:hAnsi="PingFang SC" w:eastAsia="PingFang SC"/>
          <w:b/>
          <w:color w:val="1E3A5F"/>
          <w:sz w:val="26"/>
        </w:rPr>
        <w:t>验收标准 Checklist</w:t>
      </w:r>
    </w:p>
    <w:p>
      <w:r>
        <w:rPr>
          <w:rFonts w:ascii="PingFang SC" w:hAnsi="PingFang SC" w:eastAsia="PingFang SC"/>
          <w:b w:val="0"/>
          <w:sz w:val="22"/>
        </w:rPr>
        <w:t>☐  影响判断栏无空项</w:t>
      </w:r>
    </w:p>
    <w:p>
      <w:r>
        <w:rPr>
          <w:rFonts w:ascii="PingFang SC" w:hAnsi="PingFang SC" w:eastAsia="PingFang SC"/>
          <w:b w:val="0"/>
          <w:sz w:val="22"/>
        </w:rPr>
        <w:t>☐  每条高风险项都有行动建议</w:t>
      </w:r>
    </w:p>
    <w:p>
      <w:r>
        <w:rPr>
          <w:rFonts w:ascii="PingFang SC" w:hAnsi="PingFang SC" w:eastAsia="PingFang SC"/>
          <w:b w:val="0"/>
          <w:sz w:val="22"/>
        </w:rPr>
        <w:t>☐  有执行摘要 / 影响分析 / 行动建议三段</w:t>
      </w:r>
    </w:p>
    <w:p>
      <w:r>
        <w:rPr>
          <w:rFonts w:ascii="PingFang SC" w:hAnsi="PingFang SC" w:eastAsia="PingFang SC"/>
          <w:b w:val="0"/>
          <w:sz w:val="22"/>
        </w:rPr>
        <w:t>☐  来源可追溯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