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政企关系 · 02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《政府沟通策略方案》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沟通对象画像、拜会路径、材料清单、话术要点（合规沟通框架）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1. 执行摘要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沟通目标：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本阶段边界（可谈 / 不可谈）：</w:t>
      </w:r>
    </w:p>
    <w:p>
      <w:r>
        <w:rPr>
          <w:rFonts w:ascii="PingFang SC" w:hAnsi="PingFang SC" w:eastAsia="PingFang SC"/>
          <w:b/>
          <w:color w:val="0B3D5C"/>
          <w:sz w:val="32"/>
        </w:rPr>
        <w:t>2. 沟通对象画像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机构</w:t>
            </w:r>
          </w:p>
        </w:tc>
        <w:tc>
          <w:tcPr>
            <w:tcW w:type="dxa" w:w="2160"/>
          </w:tcPr>
          <w:p>
            <w:r>
              <w:t>角色</w:t>
            </w:r>
          </w:p>
        </w:tc>
        <w:tc>
          <w:tcPr>
            <w:tcW w:type="dxa" w:w="2160"/>
          </w:tcPr>
          <w:p>
            <w:r>
              <w:t>关注点</w:t>
            </w:r>
          </w:p>
        </w:tc>
        <w:tc>
          <w:tcPr>
            <w:tcW w:type="dxa" w:w="2160"/>
          </w:tcPr>
          <w:p>
            <w:r>
              <w:t>接触优先级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0B3D5C"/>
          <w:sz w:val="32"/>
        </w:rPr>
        <w:t>3. 拜会路径设计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建议顺序：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最佳时机：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前置条件：</w:t>
      </w:r>
    </w:p>
    <w:p>
      <w:r>
        <w:rPr>
          <w:rFonts w:ascii="PingFang SC" w:hAnsi="PingFang SC" w:eastAsia="PingFang SC"/>
          <w:b/>
          <w:color w:val="0B3D5C"/>
          <w:sz w:val="32"/>
        </w:rPr>
        <w:t>4. 材料准备清单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☐ 公司介绍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☐ 业务说明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☐ 问题清单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☐ 其他：</w:t>
      </w:r>
    </w:p>
    <w:p>
      <w:r>
        <w:rPr>
          <w:rFonts w:ascii="PingFang SC" w:hAnsi="PingFang SC" w:eastAsia="PingFang SC"/>
          <w:b/>
          <w:color w:val="0B3D5C"/>
          <w:sz w:val="32"/>
        </w:rPr>
        <w:t>5. 话术要点与风险提示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开场建议：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核心信息：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避免事项：</w:t>
      </w:r>
    </w:p>
    <w:p>
      <w:r>
        <w:rPr>
          <w:rFonts w:ascii="PingFang SC" w:hAnsi="PingFang SC" w:eastAsia="PingFang SC"/>
          <w:b/>
          <w:color w:val="0B3D5C"/>
          <w:sz w:val="32"/>
        </w:rPr>
        <w:t>6. 会议记录模板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时间 / 参会人 / 议题 / 结论 / 跟进项</w:t>
      </w:r>
    </w:p>
    <w:p>
      <w:r>
        <w:rPr>
          <w:rFonts w:ascii="PingFang SC" w:hAnsi="PingFang SC" w:eastAsia="PingFang SC"/>
          <w:b/>
          <w:color w:val="0B3D5C"/>
          <w:sz w:val="32"/>
        </w:rPr>
        <w:t>7. 跟进机制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7天跟进：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30天跟进：</w:t>
      </w:r>
    </w:p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路径可执行</w:t>
      </w:r>
    </w:p>
    <w:p>
      <w:r>
        <w:rPr>
          <w:rFonts w:ascii="PingFang SC" w:hAnsi="PingFang SC" w:eastAsia="PingFang SC"/>
          <w:b w:val="0"/>
          <w:sz w:val="22"/>
        </w:rPr>
        <w:t>☐  材料清单可勾选</w:t>
      </w:r>
    </w:p>
    <w:p>
      <w:r>
        <w:rPr>
          <w:rFonts w:ascii="PingFang SC" w:hAnsi="PingFang SC" w:eastAsia="PingFang SC"/>
          <w:b w:val="0"/>
          <w:sz w:val="22"/>
        </w:rPr>
        <w:t>☐  有复盘节点</w:t>
      </w:r>
    </w:p>
    <w:p>
      <w:r>
        <w:rPr>
          <w:rFonts w:ascii="PingFang SC" w:hAnsi="PingFang SC" w:eastAsia="PingFang SC"/>
          <w:b w:val="0"/>
          <w:sz w:val="22"/>
        </w:rPr>
        <w:t>☐  边界清晰且合规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