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Northbri · 标准交付物模板</w:t>
      </w:r>
    </w:p>
    <w:p>
      <w:r>
        <w:rPr>
          <w:rFonts w:ascii="PingFang SC" w:hAnsi="PingFang SC" w:eastAsia="PingFang SC"/>
          <w:b/>
          <w:color w:val="B07D3A"/>
          <w:sz w:val="24"/>
        </w:rPr>
        <w:t>政企关系 · 03</w:t>
      </w:r>
    </w:p>
    <w:p>
      <w:r>
        <w:rPr>
          <w:rFonts w:ascii="PingFang SC" w:hAnsi="PingFang SC" w:eastAsia="PingFang SC"/>
          <w:b w:val="0"/>
          <w:sz w:val="22"/>
        </w:rPr>
      </w:r>
    </w:p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《政策预警月报 / 季报》</w:t>
      </w:r>
    </w:p>
    <w:p>
      <w:r>
        <w:rPr>
          <w:rFonts w:ascii="PingFang SC" w:hAnsi="PingFang SC" w:eastAsia="PingFang SC"/>
          <w:b w:val="0"/>
          <w:color w:val="475569"/>
          <w:sz w:val="24"/>
        </w:rPr>
        <w:t>标准化 retainer 核心载体</w:t>
      </w:r>
    </w:p>
    <w:p>
      <w:r>
        <w:rPr>
          <w:rFonts w:ascii="PingFang SC" w:hAnsi="PingFang SC" w:eastAsia="PingFang SC"/>
          <w:b w:val="0"/>
          <w:sz w:val="22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客户名称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项目阶段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【中国端 / 海外端】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覆盖司法辖区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版本号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V1.0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保密等级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Confidential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执笔人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复核人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日期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下次复盘日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</w:tbl>
    <w:p/>
    <w:p>
      <w:r>
        <w:rPr>
          <w:rFonts w:ascii="PingFang SC" w:hAnsi="PingFang SC" w:eastAsia="PingFang SC"/>
          <w:b w:val="0"/>
          <w:color w:val="64748B"/>
          <w:sz w:val="20"/>
        </w:rPr>
        <w:t>统一结构提醒：执行摘要 → 影响分析 → 行动建议 → 验收标准</w:t>
      </w:r>
    </w:p>
    <w:p>
      <w:r>
        <w:br w:type="page"/>
      </w:r>
    </w:p>
    <w:p>
      <w:r>
        <w:rPr>
          <w:rFonts w:ascii="PingFang SC" w:hAnsi="PingFang SC" w:eastAsia="PingFang SC"/>
          <w:b/>
          <w:color w:val="0B3D5C"/>
          <w:sz w:val="32"/>
        </w:rPr>
        <w:t>1. 本期摘要（3条最重要变化）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变化1：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变化2：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变化3：</w:t>
      </w:r>
    </w:p>
    <w:p>
      <w:r>
        <w:rPr>
          <w:rFonts w:ascii="PingFang SC" w:hAnsi="PingFang SC" w:eastAsia="PingFang SC"/>
          <w:b/>
          <w:color w:val="0B3D5C"/>
          <w:sz w:val="32"/>
        </w:rPr>
        <w:t>2. 新规 / 窗口清单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新规 A：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窗口 B：</w:t>
      </w:r>
    </w:p>
    <w:p>
      <w:r>
        <w:rPr>
          <w:rFonts w:ascii="PingFang SC" w:hAnsi="PingFang SC" w:eastAsia="PingFang SC"/>
          <w:b/>
          <w:color w:val="0B3D5C"/>
          <w:sz w:val="32"/>
        </w:rPr>
        <w:t>3. 对客户业务影响（高 / 中 / 低）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事项</w:t>
            </w:r>
          </w:p>
        </w:tc>
        <w:tc>
          <w:tcPr>
            <w:tcW w:type="dxa" w:w="2880"/>
          </w:tcPr>
          <w:p>
            <w:r>
              <w:t>影响等级</w:t>
            </w:r>
          </w:p>
        </w:tc>
        <w:tc>
          <w:tcPr>
            <w:tcW w:type="dxa" w:w="2880"/>
          </w:tcPr>
          <w:p>
            <w:r>
              <w:t>说明</w:t>
            </w:r>
          </w:p>
        </w:tc>
      </w:tr>
      <w:tr>
        <w:tc>
          <w:tcPr>
            <w:tcW w:type="dxa" w:w="2880"/>
          </w:tcPr>
          <w:p>
            <w:r>
              <w:t>【填写】</w:t>
            </w:r>
          </w:p>
        </w:tc>
        <w:tc>
          <w:tcPr>
            <w:tcW w:type="dxa" w:w="2880"/>
          </w:tcPr>
          <w:p>
            <w:r>
              <w:t>【填写】</w:t>
            </w:r>
          </w:p>
        </w:tc>
        <w:tc>
          <w:tcPr>
            <w:tcW w:type="dxa" w:w="2880"/>
          </w:tcPr>
          <w:p>
            <w:r>
              <w:t>【填写】</w:t>
            </w:r>
          </w:p>
        </w:tc>
      </w:tr>
      <w:tr>
        <w:tc>
          <w:tcPr>
            <w:tcW w:type="dxa" w:w="2880"/>
          </w:tcPr>
          <w:p>
            <w:r>
              <w:t>【填写】</w:t>
            </w:r>
          </w:p>
        </w:tc>
        <w:tc>
          <w:tcPr>
            <w:tcW w:type="dxa" w:w="2880"/>
          </w:tcPr>
          <w:p>
            <w:r>
              <w:t>【填写】</w:t>
            </w:r>
          </w:p>
        </w:tc>
        <w:tc>
          <w:tcPr>
            <w:tcW w:type="dxa" w:w="2880"/>
          </w:tcPr>
          <w:p>
            <w:r>
              <w:t>【填写】</w:t>
            </w:r>
          </w:p>
        </w:tc>
      </w:tr>
      <w:tr>
        <w:tc>
          <w:tcPr>
            <w:tcW w:type="dxa" w:w="2880"/>
          </w:tcPr>
          <w:p>
            <w:r>
              <w:t>【填写】</w:t>
            </w:r>
          </w:p>
        </w:tc>
        <w:tc>
          <w:tcPr>
            <w:tcW w:type="dxa" w:w="2880"/>
          </w:tcPr>
          <w:p>
            <w:r>
              <w:t>【填写】</w:t>
            </w:r>
          </w:p>
        </w:tc>
        <w:tc>
          <w:tcPr>
            <w:tcW w:type="dxa" w:w="2880"/>
          </w:tcPr>
          <w:p>
            <w:r>
              <w:t>【填写】</w:t>
            </w:r>
          </w:p>
        </w:tc>
      </w:tr>
    </w:tbl>
    <w:p/>
    <w:p>
      <w:r>
        <w:rPr>
          <w:rFonts w:ascii="PingFang SC" w:hAnsi="PingFang SC" w:eastAsia="PingFang SC"/>
          <w:b/>
          <w:color w:val="0B3D5C"/>
          <w:sz w:val="32"/>
        </w:rPr>
        <w:t>4. 建议动作（本期必须推进项）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动作1（责任人 / 截止日）：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动作2：</w:t>
      </w:r>
    </w:p>
    <w:p>
      <w:r>
        <w:rPr>
          <w:rFonts w:ascii="PingFang SC" w:hAnsi="PingFang SC" w:eastAsia="PingFang SC"/>
          <w:b/>
          <w:color w:val="0B3D5C"/>
          <w:sz w:val="32"/>
        </w:rPr>
        <w:t>5. 下期关注点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关注点1：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关注点2：</w:t>
      </w:r>
    </w:p>
    <w:p>
      <w:r>
        <w:rPr>
          <w:rFonts w:ascii="PingFang SC" w:hAnsi="PingFang SC" w:eastAsia="PingFang SC"/>
          <w:b/>
          <w:color w:val="0B3D5C"/>
          <w:sz w:val="32"/>
        </w:rPr>
        <w:t>6. 附件：官方出处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链接/文号1：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链接/文号2：</w:t>
      </w:r>
    </w:p>
    <w:p>
      <w:r>
        <w:rPr>
          <w:rFonts w:ascii="PingFang SC" w:hAnsi="PingFang SC" w:eastAsia="PingFang SC"/>
          <w:b/>
          <w:color w:val="1E3A5F"/>
          <w:sz w:val="26"/>
        </w:rPr>
        <w:t>验收标准 Checklist</w:t>
      </w:r>
    </w:p>
    <w:p>
      <w:r>
        <w:rPr>
          <w:rFonts w:ascii="PingFang SC" w:hAnsi="PingFang SC" w:eastAsia="PingFang SC"/>
          <w:b w:val="0"/>
          <w:sz w:val="22"/>
        </w:rPr>
        <w:t>☐  固定模板发出</w:t>
      </w:r>
    </w:p>
    <w:p>
      <w:r>
        <w:rPr>
          <w:rFonts w:ascii="PingFang SC" w:hAnsi="PingFang SC" w:eastAsia="PingFang SC"/>
          <w:b w:val="0"/>
          <w:sz w:val="22"/>
        </w:rPr>
        <w:t>☐  客户当月有可执行动作</w:t>
      </w:r>
    </w:p>
    <w:p>
      <w:r>
        <w:rPr>
          <w:rFonts w:ascii="PingFang SC" w:hAnsi="PingFang SC" w:eastAsia="PingFang SC"/>
          <w:b w:val="0"/>
          <w:sz w:val="22"/>
        </w:rPr>
        <w:t>☐  影响等级已标注</w:t>
      </w:r>
    </w:p>
    <w:p>
      <w:r>
        <w:rPr>
          <w:rFonts w:ascii="PingFang SC" w:hAnsi="PingFang SC" w:eastAsia="PingFang SC"/>
          <w:b w:val="0"/>
          <w:sz w:val="22"/>
        </w:rPr>
        <w:t>☐  出处可点击/可核实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