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合规咨询 · 04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《合规风险矩阵》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司法辖区 × 业务条线，红黄绿灯一眼看优先级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1. 执行摘要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最高风险区域：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本月重点整改：</w:t>
      </w:r>
    </w:p>
    <w:p>
      <w:r>
        <w:rPr>
          <w:rFonts w:ascii="PingFang SC" w:hAnsi="PingFang SC" w:eastAsia="PingFang SC"/>
          <w:b/>
          <w:color w:val="0B3D5C"/>
          <w:sz w:val="32"/>
        </w:rPr>
        <w:t>2. 风险矩阵（示例表）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业务条线 \ 辖区</w:t>
            </w:r>
          </w:p>
        </w:tc>
        <w:tc>
          <w:tcPr>
            <w:tcW w:type="dxa" w:w="1440"/>
          </w:tcPr>
          <w:p>
            <w:r>
              <w:t>中国</w:t>
            </w:r>
          </w:p>
        </w:tc>
        <w:tc>
          <w:tcPr>
            <w:tcW w:type="dxa" w:w="1440"/>
          </w:tcPr>
          <w:p>
            <w:r>
              <w:t>目标国A</w:t>
            </w:r>
          </w:p>
        </w:tc>
        <w:tc>
          <w:tcPr>
            <w:tcW w:type="dxa" w:w="1440"/>
          </w:tcPr>
          <w:p>
            <w:r>
              <w:t>目标国B</w:t>
            </w:r>
          </w:p>
        </w:tc>
        <w:tc>
          <w:tcPr>
            <w:tcW w:type="dxa" w:w="1440"/>
          </w:tcPr>
          <w:p>
            <w:r>
              <w:t>风险说明</w:t>
            </w:r>
          </w:p>
        </w:tc>
        <w:tc>
          <w:tcPr>
            <w:tcW w:type="dxa" w:w="1440"/>
          </w:tcPr>
          <w:p>
            <w:r>
              <w:t>责任人</w:t>
            </w:r>
          </w:p>
        </w:tc>
      </w:tr>
      <w:tr>
        <w:tc>
          <w:tcPr>
            <w:tcW w:type="dxa" w:w="1440"/>
          </w:tcPr>
          <w:p>
            <w:r>
              <w:t>资金与跨境支付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</w:tr>
      <w:tr>
        <w:tc>
          <w:tcPr>
            <w:tcW w:type="dxa" w:w="1440"/>
          </w:tcPr>
          <w:p>
            <w:r>
              <w:t>数据与隐私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</w:tr>
      <w:tr>
        <w:tc>
          <w:tcPr>
            <w:tcW w:type="dxa" w:w="1440"/>
          </w:tcPr>
          <w:p>
            <w:r>
              <w:t>用工与签证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</w:tr>
      <w:tr>
        <w:tc>
          <w:tcPr>
            <w:tcW w:type="dxa" w:w="1440"/>
          </w:tcPr>
          <w:p>
            <w:r>
              <w:t>产品/营销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</w:tr>
      <w:tr>
        <w:tc>
          <w:tcPr>
            <w:tcW w:type="dxa" w:w="1440"/>
          </w:tcPr>
          <w:p>
            <w:r>
              <w:t>其他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  <w:tc>
          <w:tcPr>
            <w:tcW w:type="dxa" w:w="1440"/>
          </w:tcPr>
          <w:p>
            <w:r>
              <w:t>红/黄/绿</w:t>
            </w:r>
          </w:p>
        </w:tc>
      </w:tr>
    </w:tbl>
    <w:p/>
    <w:p>
      <w:r>
        <w:rPr>
          <w:rFonts w:ascii="PingFang SC" w:hAnsi="PingFang SC" w:eastAsia="PingFang SC"/>
          <w:b/>
          <w:color w:val="0B3D5C"/>
          <w:sz w:val="32"/>
        </w:rPr>
        <w:t>3. 单元格填写规范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风险等级（红黄绿）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关键法规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现状简述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责任人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下次复核日</w:t>
      </w:r>
    </w:p>
    <w:p>
      <w:r>
        <w:rPr>
          <w:rFonts w:ascii="PingFang SC" w:hAnsi="PingFang SC" w:eastAsia="PingFang SC"/>
          <w:b/>
          <w:color w:val="0B3D5C"/>
          <w:sz w:val="32"/>
        </w:rPr>
        <w:t>4. 行动建议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红色项立即动作：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黄色项本季度动作：</w:t>
      </w:r>
    </w:p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管理层 1 分钟内可看懂优先级</w:t>
      </w:r>
    </w:p>
    <w:p>
      <w:r>
        <w:rPr>
          <w:rFonts w:ascii="PingFang SC" w:hAnsi="PingFang SC" w:eastAsia="PingFang SC"/>
          <w:b w:val="0"/>
          <w:sz w:val="22"/>
        </w:rPr>
        <w:t>☐  红色项均有责任人</w:t>
      </w:r>
    </w:p>
    <w:p>
      <w:r>
        <w:rPr>
          <w:rFonts w:ascii="PingFang SC" w:hAnsi="PingFang SC" w:eastAsia="PingFang SC"/>
          <w:b w:val="0"/>
          <w:sz w:val="22"/>
        </w:rPr>
        <w:t>☐  下次复核日已填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