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合规咨询 · 05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《专项合规审查报告》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法规依据、现状差距、整改建议、时间表、责任人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审查结论：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关键差距数量：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是否需本地律师复核：是 / 否</w:t>
      </w:r>
    </w:p>
    <w:p>
      <w:r>
        <w:rPr>
          <w:rFonts w:ascii="PingFang SC" w:hAnsi="PingFang SC" w:eastAsia="PingFang SC"/>
          <w:b/>
          <w:color w:val="0B3D5C"/>
          <w:sz w:val="32"/>
        </w:rPr>
        <w:t>2. 审查范围与边界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范围内：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范围外：</w:t>
      </w:r>
    </w:p>
    <w:p>
      <w:r>
        <w:rPr>
          <w:rFonts w:ascii="PingFang SC" w:hAnsi="PingFang SC" w:eastAsia="PingFang SC"/>
          <w:b/>
          <w:color w:val="0B3D5C"/>
          <w:sz w:val="32"/>
        </w:rPr>
        <w:t>3. 法规依据（来源 / 条款 / 日期）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依据1：【来源】【条款】【日期】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依据2：</w:t>
      </w:r>
    </w:p>
    <w:p>
      <w:r>
        <w:rPr>
          <w:rFonts w:ascii="PingFang SC" w:hAnsi="PingFang SC" w:eastAsia="PingFang SC"/>
          <w:b/>
          <w:color w:val="0B3D5C"/>
          <w:sz w:val="32"/>
        </w:rPr>
        <w:t>4. 现状差距分析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差距1：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差距2：</w:t>
      </w:r>
    </w:p>
    <w:p>
      <w:r>
        <w:rPr>
          <w:rFonts w:ascii="PingFang SC" w:hAnsi="PingFang SC" w:eastAsia="PingFang SC"/>
          <w:b/>
          <w:color w:val="0B3D5C"/>
          <w:sz w:val="32"/>
        </w:rPr>
        <w:t>5. 整改建议（可执行）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建议</w:t>
            </w:r>
          </w:p>
        </w:tc>
        <w:tc>
          <w:tcPr>
            <w:tcW w:type="dxa" w:w="1728"/>
          </w:tcPr>
          <w:p>
            <w:r>
              <w:t>依据来源</w:t>
            </w:r>
          </w:p>
        </w:tc>
        <w:tc>
          <w:tcPr>
            <w:tcW w:type="dxa" w:w="1728"/>
          </w:tcPr>
          <w:p>
            <w:r>
              <w:t>责任人</w:t>
            </w:r>
          </w:p>
        </w:tc>
        <w:tc>
          <w:tcPr>
            <w:tcW w:type="dxa" w:w="1728"/>
          </w:tcPr>
          <w:p>
            <w:r>
              <w:t>时间表</w:t>
            </w:r>
          </w:p>
        </w:tc>
        <w:tc>
          <w:tcPr>
            <w:tcW w:type="dxa" w:w="1728"/>
          </w:tcPr>
          <w:p>
            <w:r>
              <w:t>验收指标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6. 本地持牌机构复核说明</w:t>
      </w:r>
    </w:p>
    <w:p>
      <w:r>
        <w:rPr>
          <w:rFonts w:ascii="PingFang SC" w:hAnsi="PingFang SC" w:eastAsia="PingFang SC"/>
          <w:b w:val="0"/>
          <w:sz w:val="22"/>
        </w:rPr>
        <w:t>法律意见由本地持牌律师出具；本机构负责梳理、协调与项目管理。复核机构：【填写】 复核日期：【填写】</w:t>
      </w:r>
    </w:p>
    <w:p>
      <w:r>
        <w:rPr>
          <w:rFonts w:ascii="PingFang SC" w:hAnsi="PingFang SC" w:eastAsia="PingFang SC"/>
          <w:b/>
          <w:color w:val="0B3D5C"/>
          <w:sz w:val="32"/>
        </w:rPr>
        <w:t>7. 附录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访谈记录：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证据索引：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每条建议有法律依据来源</w:t>
      </w:r>
    </w:p>
    <w:p>
      <w:r>
        <w:rPr>
          <w:rFonts w:ascii="PingFang SC" w:hAnsi="PingFang SC" w:eastAsia="PingFang SC"/>
          <w:b w:val="0"/>
          <w:sz w:val="22"/>
        </w:rPr>
        <w:t>☐  已标明本地持牌机构复核信息</w:t>
      </w:r>
    </w:p>
    <w:p>
      <w:r>
        <w:rPr>
          <w:rFonts w:ascii="PingFang SC" w:hAnsi="PingFang SC" w:eastAsia="PingFang SC"/>
          <w:b w:val="0"/>
          <w:sz w:val="22"/>
        </w:rPr>
        <w:t>☐  时间表与责任人完整</w:t>
      </w:r>
    </w:p>
    <w:p>
      <w:r>
        <w:rPr>
          <w:rFonts w:ascii="PingFang SC" w:hAnsi="PingFang SC" w:eastAsia="PingFang SC"/>
          <w:b w:val="0"/>
          <w:sz w:val="22"/>
        </w:rPr>
        <w:t>☐  法律意见边界清晰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