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合规咨询 · 06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《合规操作手册（SOP）》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可执行操作步骤，不是法条汇编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流程模板（每个流程复制本章）</w:t>
      </w:r>
    </w:p>
    <w:p>
      <w:r>
        <w:rPr>
          <w:rFonts w:ascii="PingFang SC" w:hAnsi="PingFang SC" w:eastAsia="PingFang SC"/>
          <w:b/>
          <w:color w:val="1E3A5F"/>
          <w:sz w:val="26"/>
        </w:rPr>
        <w:t>流程名称：【填写】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1. 目的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2. 适用范围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3. 责任角色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4. 前置条件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5. 操作步骤（编号）：1) 2) 3)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6. 审批节点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7. 输出文件 / 留痕要求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8. 常见错误与例外处理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9. 相关依据</w:t>
      </w:r>
    </w:p>
    <w:p>
      <w:r>
        <w:rPr>
          <w:rFonts w:ascii="PingFang SC" w:hAnsi="PingFang SC" w:eastAsia="PingFang SC"/>
          <w:b/>
          <w:color w:val="0B3D5C"/>
          <w:sz w:val="32"/>
        </w:rPr>
        <w:t>建议优先流程清单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开户流程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合同审核流程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付款流程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数据跨境评估流程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KYC / 供应商准入流程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新人可按手册独立完成基础动作</w:t>
      </w:r>
    </w:p>
    <w:p>
      <w:r>
        <w:rPr>
          <w:rFonts w:ascii="PingFang SC" w:hAnsi="PingFang SC" w:eastAsia="PingFang SC"/>
          <w:b w:val="0"/>
          <w:sz w:val="22"/>
        </w:rPr>
        <w:t>☐  每步有责任角色</w:t>
      </w:r>
    </w:p>
    <w:p>
      <w:r>
        <w:rPr>
          <w:rFonts w:ascii="PingFang SC" w:hAnsi="PingFang SC" w:eastAsia="PingFang SC"/>
          <w:b w:val="0"/>
          <w:sz w:val="22"/>
        </w:rPr>
        <w:t>☐  有输出与留痕</w:t>
      </w:r>
    </w:p>
    <w:p>
      <w:r>
        <w:rPr>
          <w:rFonts w:ascii="PingFang SC" w:hAnsi="PingFang SC" w:eastAsia="PingFang SC"/>
          <w:b w:val="0"/>
          <w:sz w:val="22"/>
        </w:rPr>
        <w:t>☐  例外处理已写明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