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内控设计 · 07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《内控框架设计报告》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基于 COSO 五要素，控制点—风险点对应矩阵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执行摘要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总体成熟度：高 / 中 / 低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优先建设模块：</w:t>
      </w:r>
    </w:p>
    <w:p>
      <w:r>
        <w:rPr>
          <w:rFonts w:ascii="PingFang SC" w:hAnsi="PingFang SC" w:eastAsia="PingFang SC"/>
          <w:b/>
          <w:color w:val="0B3D5C"/>
          <w:sz w:val="32"/>
        </w:rPr>
        <w:t>2. 控制环境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目标状态：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关键控制点：</w:t>
      </w:r>
    </w:p>
    <w:p>
      <w:r>
        <w:rPr>
          <w:rFonts w:ascii="PingFang SC" w:hAnsi="PingFang SC" w:eastAsia="PingFang SC"/>
          <w:b/>
          <w:color w:val="0B3D5C"/>
          <w:sz w:val="32"/>
        </w:rPr>
        <w:t>3. 风险评估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目标状态：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关键控制点：</w:t>
      </w:r>
    </w:p>
    <w:p>
      <w:r>
        <w:rPr>
          <w:rFonts w:ascii="PingFang SC" w:hAnsi="PingFang SC" w:eastAsia="PingFang SC"/>
          <w:b/>
          <w:color w:val="0B3D5C"/>
          <w:sz w:val="32"/>
        </w:rPr>
        <w:t>4. 控制活动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目标状态：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关键控制点：</w:t>
      </w:r>
    </w:p>
    <w:p>
      <w:r>
        <w:rPr>
          <w:rFonts w:ascii="PingFang SC" w:hAnsi="PingFang SC" w:eastAsia="PingFang SC"/>
          <w:b/>
          <w:color w:val="0B3D5C"/>
          <w:sz w:val="32"/>
        </w:rPr>
        <w:t>5. 信息与沟通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目标状态：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关键控制点：</w:t>
      </w:r>
    </w:p>
    <w:p>
      <w:r>
        <w:rPr>
          <w:rFonts w:ascii="PingFang SC" w:hAnsi="PingFang SC" w:eastAsia="PingFang SC"/>
          <w:b/>
          <w:color w:val="0B3D5C"/>
          <w:sz w:val="32"/>
        </w:rPr>
        <w:t>6. 监督活动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目标状态：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关键控制点：</w:t>
      </w:r>
    </w:p>
    <w:p>
      <w:r>
        <w:rPr>
          <w:rFonts w:ascii="PingFang SC" w:hAnsi="PingFang SC" w:eastAsia="PingFang SC"/>
          <w:b/>
          <w:color w:val="0B3D5C"/>
          <w:sz w:val="32"/>
        </w:rPr>
        <w:t>7. 控制点—风险点对应矩阵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风险点</w:t>
            </w:r>
          </w:p>
        </w:tc>
        <w:tc>
          <w:tcPr>
            <w:tcW w:type="dxa" w:w="2160"/>
          </w:tcPr>
          <w:p>
            <w:r>
              <w:t>控制点</w:t>
            </w:r>
          </w:p>
        </w:tc>
        <w:tc>
          <w:tcPr>
            <w:tcW w:type="dxa" w:w="2160"/>
          </w:tcPr>
          <w:p>
            <w:r>
              <w:t>责任人</w:t>
            </w:r>
          </w:p>
        </w:tc>
        <w:tc>
          <w:tcPr>
            <w:tcW w:type="dxa" w:w="2160"/>
          </w:tcPr>
          <w:p>
            <w:r>
              <w:t>频率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8. 实施优先级与资源建议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一期：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二期：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所需系统 / 人力：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COSO 五要素齐全</w:t>
      </w:r>
    </w:p>
    <w:p>
      <w:r>
        <w:rPr>
          <w:rFonts w:ascii="PingFang SC" w:hAnsi="PingFang SC" w:eastAsia="PingFang SC"/>
          <w:b w:val="0"/>
          <w:sz w:val="22"/>
        </w:rPr>
        <w:t>☐  每个风险点有对应控制点</w:t>
      </w:r>
    </w:p>
    <w:p>
      <w:r>
        <w:rPr>
          <w:rFonts w:ascii="PingFang SC" w:hAnsi="PingFang SC" w:eastAsia="PingFang SC"/>
          <w:b w:val="0"/>
          <w:sz w:val="22"/>
        </w:rPr>
        <w:t>☐  优先级可落地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