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Northbri · 标准交付物模板</w:t>
      </w:r>
    </w:p>
    <w:p>
      <w:r>
        <w:rPr>
          <w:rFonts w:ascii="PingFang SC" w:hAnsi="PingFang SC" w:eastAsia="PingFang SC"/>
          <w:b/>
          <w:color w:val="B07D3A"/>
          <w:sz w:val="24"/>
        </w:rPr>
        <w:t>内控设计 · 08</w:t>
      </w:r>
    </w:p>
    <w:p>
      <w:r>
        <w:rPr>
          <w:rFonts w:ascii="PingFang SC" w:hAnsi="PingFang SC" w:eastAsia="PingFang SC"/>
          <w:b w:val="0"/>
          <w:sz w:val="22"/>
        </w:rPr>
      </w:r>
    </w:p>
    <w:p>
      <w:pPr>
        <w:jc w:val="center"/>
      </w:pPr>
      <w:r>
        <w:rPr>
          <w:rFonts w:ascii="PingFang SC" w:hAnsi="PingFang SC" w:eastAsia="PingFang SC"/>
          <w:b/>
          <w:color w:val="0F172A"/>
          <w:sz w:val="44"/>
        </w:rPr>
        <w:t>《流程图 + RCM 风险控制矩阵》</w:t>
      </w:r>
    </w:p>
    <w:p>
      <w:r>
        <w:rPr>
          <w:rFonts w:ascii="PingFang SC" w:hAnsi="PingFang SC" w:eastAsia="PingFang SC"/>
          <w:b w:val="0"/>
          <w:color w:val="475569"/>
          <w:sz w:val="24"/>
        </w:rPr>
        <w:t>董事会 / 内部审计可识别的标准格式</w:t>
      </w:r>
    </w:p>
    <w:p>
      <w:r>
        <w:rPr>
          <w:rFonts w:ascii="PingFang SC" w:hAnsi="PingFang SC" w:eastAsia="PingFang SC"/>
          <w:b w:val="0"/>
          <w:sz w:val="22"/>
        </w:rPr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客户名称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项目阶段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【中国端 / 海外端】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覆盖司法辖区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版本号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V1.0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保密等级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Confidential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执笔人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复核人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【填写】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日期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  <w:tr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下次复盘日</w:t>
            </w:r>
          </w:p>
        </w:tc>
        <w:tc>
          <w:tcPr>
            <w:tcW w:type="dxa" w:w="4320"/>
          </w:tcPr>
          <w:p>
            <w:r>
              <w:rPr>
                <w:rFonts w:ascii="PingFang SC" w:hAnsi="PingFang SC" w:eastAsia="PingFang SC"/>
                <w:b w:val="0"/>
                <w:sz w:val="20"/>
              </w:rPr>
              <w:t>YYYY-MM-DD</w:t>
            </w:r>
          </w:p>
        </w:tc>
      </w:tr>
    </w:tbl>
    <w:p/>
    <w:p>
      <w:r>
        <w:rPr>
          <w:rFonts w:ascii="PingFang SC" w:hAnsi="PingFang SC" w:eastAsia="PingFang SC"/>
          <w:b w:val="0"/>
          <w:color w:val="64748B"/>
          <w:sz w:val="20"/>
        </w:rPr>
        <w:t>统一结构提醒：执行摘要 → 影响分析 → 行动建议 → 验收标准</w:t>
      </w:r>
    </w:p>
    <w:p>
      <w:r>
        <w:br w:type="page"/>
      </w:r>
    </w:p>
    <w:p>
      <w:r>
        <w:rPr>
          <w:rFonts w:ascii="PingFang SC" w:hAnsi="PingFang SC" w:eastAsia="PingFang SC"/>
          <w:b/>
          <w:color w:val="0B3D5C"/>
          <w:sz w:val="32"/>
        </w:rPr>
        <w:t>A. 流程图说明页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流程名称：【填写】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图示建议工具：Visio / 飞书 / 墨刀 / draw.io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必备标注：角色、系统、文件、审批节点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流程主路径：开始 → 关键节点 → 审批 → 结束</w:t>
      </w:r>
    </w:p>
    <w:p>
      <w:pPr>
        <w:pStyle w:val="ListBullet"/>
      </w:pPr>
      <w:r>
        <w:rPr>
          <w:rFonts w:ascii="PingFang SC" w:hAnsi="PingFang SC" w:eastAsia="PingFang SC"/>
          <w:b w:val="0"/>
          <w:sz w:val="22"/>
        </w:rPr>
        <w:t>例外路径：【填写】</w:t>
      </w:r>
    </w:p>
    <w:p>
      <w:r>
        <w:rPr>
          <w:rFonts w:ascii="PingFang SC" w:hAnsi="PingFang SC" w:eastAsia="PingFang SC"/>
          <w:b/>
          <w:color w:val="0B3D5C"/>
          <w:sz w:val="32"/>
        </w:rPr>
        <w:t>B. RCM 表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流程名称</w:t>
            </w:r>
          </w:p>
        </w:tc>
        <w:tc>
          <w:tcPr>
            <w:tcW w:type="dxa" w:w="1234"/>
          </w:tcPr>
          <w:p>
            <w:r>
              <w:t>风险点</w:t>
            </w:r>
          </w:p>
        </w:tc>
        <w:tc>
          <w:tcPr>
            <w:tcW w:type="dxa" w:w="1234"/>
          </w:tcPr>
          <w:p>
            <w:r>
              <w:t>控制点</w:t>
            </w:r>
          </w:p>
        </w:tc>
        <w:tc>
          <w:tcPr>
            <w:tcW w:type="dxa" w:w="1234"/>
          </w:tcPr>
          <w:p>
            <w:r>
              <w:t>控制频率</w:t>
            </w:r>
          </w:p>
        </w:tc>
        <w:tc>
          <w:tcPr>
            <w:tcW w:type="dxa" w:w="1234"/>
          </w:tcPr>
          <w:p>
            <w:r>
              <w:t>责任人</w:t>
            </w:r>
          </w:p>
        </w:tc>
        <w:tc>
          <w:tcPr>
            <w:tcW w:type="dxa" w:w="1234"/>
          </w:tcPr>
          <w:p>
            <w:r>
              <w:t>证据留存</w:t>
            </w:r>
          </w:p>
        </w:tc>
        <w:tc>
          <w:tcPr>
            <w:tcW w:type="dxa" w:w="1234"/>
          </w:tcPr>
          <w:p>
            <w:r>
              <w:t>有效性（红黄绿）</w:t>
            </w:r>
          </w:p>
        </w:tc>
      </w:tr>
      <w:tr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</w:tr>
      <w:tr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</w:tr>
      <w:tr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</w:tr>
      <w:tr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</w:tr>
      <w:tr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  <w:tc>
          <w:tcPr>
            <w:tcW w:type="dxa" w:w="1234"/>
          </w:tcPr>
          <w:p>
            <w:r>
              <w:t>【填写】</w:t>
            </w:r>
          </w:p>
        </w:tc>
      </w:tr>
    </w:tbl>
    <w:p/>
    <w:p>
      <w:r>
        <w:rPr>
          <w:rFonts w:ascii="PingFang SC" w:hAnsi="PingFang SC" w:eastAsia="PingFang SC"/>
          <w:b/>
          <w:color w:val="1E3A5F"/>
          <w:sz w:val="26"/>
        </w:rPr>
        <w:t>验收标准 Checklist</w:t>
      </w:r>
    </w:p>
    <w:p>
      <w:r>
        <w:rPr>
          <w:rFonts w:ascii="PingFang SC" w:hAnsi="PingFang SC" w:eastAsia="PingFang SC"/>
          <w:b w:val="0"/>
          <w:sz w:val="22"/>
        </w:rPr>
        <w:t>☐  每个风险点至少对应一个控制点</w:t>
      </w:r>
    </w:p>
    <w:p>
      <w:r>
        <w:rPr>
          <w:rFonts w:ascii="PingFang SC" w:hAnsi="PingFang SC" w:eastAsia="PingFang SC"/>
          <w:b w:val="0"/>
          <w:sz w:val="22"/>
        </w:rPr>
        <w:t>☐  证据留存可核验</w:t>
      </w:r>
    </w:p>
    <w:p>
      <w:r>
        <w:rPr>
          <w:rFonts w:ascii="PingFang SC" w:hAnsi="PingFang SC" w:eastAsia="PingFang SC"/>
          <w:b w:val="0"/>
          <w:sz w:val="22"/>
        </w:rPr>
        <w:t>☐  有效性评估已填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