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AI培训/转型 · 10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《AI 应用现状诊断报告》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按岗位/流程打分，找出高价值试点场景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1. 执行摘要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成熟度判断：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推荐试点数量：</w:t>
      </w:r>
    </w:p>
    <w:p>
      <w:r>
        <w:rPr>
          <w:rFonts w:ascii="PingFang SC" w:hAnsi="PingFang SC" w:eastAsia="PingFang SC"/>
          <w:b/>
          <w:color w:val="0B3D5C"/>
          <w:sz w:val="32"/>
        </w:rPr>
        <w:t>2. 诊断范围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覆盖岗位：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覆盖流程：</w:t>
      </w:r>
    </w:p>
    <w:p>
      <w:r>
        <w:rPr>
          <w:rFonts w:ascii="PingFang SC" w:hAnsi="PingFang SC" w:eastAsia="PingFang SC"/>
          <w:b/>
          <w:color w:val="0B3D5C"/>
          <w:sz w:val="32"/>
        </w:rPr>
        <w:t>3. 评分表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岗位/流程</w:t>
            </w:r>
          </w:p>
        </w:tc>
        <w:tc>
          <w:tcPr>
            <w:tcW w:type="dxa" w:w="1728"/>
          </w:tcPr>
          <w:p>
            <w:r>
              <w:t>频率(1-5)</w:t>
            </w:r>
          </w:p>
        </w:tc>
        <w:tc>
          <w:tcPr>
            <w:tcW w:type="dxa" w:w="1728"/>
          </w:tcPr>
          <w:p>
            <w:r>
              <w:t>可标准化(1-5)</w:t>
            </w:r>
          </w:p>
        </w:tc>
        <w:tc>
          <w:tcPr>
            <w:tcW w:type="dxa" w:w="1728"/>
          </w:tcPr>
          <w:p>
            <w:r>
              <w:t>数据完备度(1-5)</w:t>
            </w:r>
          </w:p>
        </w:tc>
        <w:tc>
          <w:tcPr>
            <w:tcW w:type="dxa" w:w="1728"/>
          </w:tcPr>
          <w:p>
            <w:r>
              <w:t>ROI潜力(1-5)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4. 场景优先排序（Top 5）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1.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2.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3.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4.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5.</w:t>
      </w:r>
    </w:p>
    <w:p>
      <w:r>
        <w:rPr>
          <w:rFonts w:ascii="PingFang SC" w:hAnsi="PingFang SC" w:eastAsia="PingFang SC"/>
          <w:b/>
          <w:color w:val="0B3D5C"/>
          <w:sz w:val="32"/>
        </w:rPr>
        <w:t>5. 推荐试点（1–2个）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试点A：目标 / 成功指标 / 周期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试点B：</w:t>
      </w:r>
    </w:p>
    <w:p>
      <w:r>
        <w:rPr>
          <w:rFonts w:ascii="PingFang SC" w:hAnsi="PingFang SC" w:eastAsia="PingFang SC"/>
          <w:b/>
          <w:color w:val="0B3D5C"/>
          <w:sz w:val="32"/>
        </w:rPr>
        <w:t>6. 风险与边界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数据安全：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合规要求：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人岗变化：</w:t>
      </w:r>
    </w:p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至少一个可启动试点</w:t>
      </w:r>
    </w:p>
    <w:p>
      <w:r>
        <w:rPr>
          <w:rFonts w:ascii="PingFang SC" w:hAnsi="PingFang SC" w:eastAsia="PingFang SC"/>
          <w:b w:val="0"/>
          <w:sz w:val="22"/>
        </w:rPr>
        <w:t>☐  成功指标明确</w:t>
      </w:r>
    </w:p>
    <w:p>
      <w:r>
        <w:rPr>
          <w:rFonts w:ascii="PingFang SC" w:hAnsi="PingFang SC" w:eastAsia="PingFang SC"/>
          <w:b w:val="0"/>
          <w:sz w:val="22"/>
        </w:rPr>
        <w:t>☐  评分表完整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