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· 标准交付物模板</w:t>
      </w:r>
    </w:p>
    <w:p>
      <w:r>
        <w:rPr>
          <w:rFonts w:ascii="PingFang SC" w:hAnsi="PingFang SC" w:eastAsia="PingFang SC"/>
          <w:b/>
          <w:color w:val="B07D3A"/>
          <w:sz w:val="24"/>
        </w:rPr>
        <w:t>AI培训/转型 · 11</w:t>
      </w:r>
    </w:p>
    <w:p>
      <w:r>
        <w:rPr>
          <w:rFonts w:ascii="PingFang SC" w:hAnsi="PingFang SC" w:eastAsia="PingFang SC"/>
          <w:b w:val="0"/>
          <w:sz w:val="22"/>
        </w:rPr>
      </w:r>
    </w:p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《分层培训课程体系》</w:t>
      </w:r>
    </w:p>
    <w:p>
      <w:r>
        <w:rPr>
          <w:rFonts w:ascii="PingFang SC" w:hAnsi="PingFang SC" w:eastAsia="PingFang SC"/>
          <w:b w:val="0"/>
          <w:color w:val="475569"/>
          <w:sz w:val="24"/>
        </w:rPr>
        <w:t>管理层认知课 / 业务骨干实操课 / 全员素养课</w:t>
      </w:r>
    </w:p>
    <w:p>
      <w:r>
        <w:rPr>
          <w:rFonts w:ascii="PingFang SC" w:hAnsi="PingFang SC" w:eastAsia="PingFang SC"/>
          <w:b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客户名称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项目阶段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【中国端 / 海外端】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覆盖司法辖区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版本号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保密等级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Confidential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执笔人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复核人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日期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下次复盘日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</w:tbl>
    <w:p/>
    <w:p>
      <w:r>
        <w:rPr>
          <w:rFonts w:ascii="PingFang SC" w:hAnsi="PingFang SC" w:eastAsia="PingFang SC"/>
          <w:b w:val="0"/>
          <w:color w:val="64748B"/>
          <w:sz w:val="20"/>
        </w:rPr>
        <w:t>统一结构提醒：执行摘要 → 影响分析 → 行动建议 → 验收标准</w:t>
      </w:r>
    </w:p>
    <w:p>
      <w:r>
        <w:br w:type="page"/>
      </w:r>
    </w:p>
    <w:p>
      <w:r>
        <w:rPr>
          <w:rFonts w:ascii="PingFang SC" w:hAnsi="PingFang SC" w:eastAsia="PingFang SC"/>
          <w:b/>
          <w:color w:val="0B3D5C"/>
          <w:sz w:val="32"/>
        </w:rPr>
        <w:t>A. 管理层认知课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目标：判断投什么、先试点什么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时长/形式：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产出：决策简报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完成证据：签到 + 决策纪要</w:t>
      </w:r>
    </w:p>
    <w:p>
      <w:r>
        <w:rPr>
          <w:rFonts w:ascii="PingFang SC" w:hAnsi="PingFang SC" w:eastAsia="PingFang SC"/>
          <w:b/>
          <w:color w:val="0B3D5C"/>
          <w:sz w:val="32"/>
        </w:rPr>
        <w:t>B. 业务骨干实操课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目标：完成指定场景实操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课程大纲：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产出：作业 / Prompt / 流程模板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完成证据：作业提交记录</w:t>
      </w:r>
    </w:p>
    <w:p>
      <w:r>
        <w:rPr>
          <w:rFonts w:ascii="PingFang SC" w:hAnsi="PingFang SC" w:eastAsia="PingFang SC"/>
          <w:b/>
          <w:color w:val="0B3D5C"/>
          <w:sz w:val="32"/>
        </w:rPr>
        <w:t>C. 全员素养课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目标：合规使用与提效意识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内容要点：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产出：测验结果 + 使用规范确认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完成证据：测验通过率</w:t>
      </w:r>
    </w:p>
    <w:p>
      <w:r>
        <w:rPr>
          <w:rFonts w:ascii="PingFang SC" w:hAnsi="PingFang SC" w:eastAsia="PingFang SC"/>
          <w:b/>
          <w:color w:val="0B3D5C"/>
          <w:sz w:val="32"/>
        </w:rPr>
        <w:t>课程排期表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层级</w:t>
            </w:r>
          </w:p>
        </w:tc>
        <w:tc>
          <w:tcPr>
            <w:tcW w:type="dxa" w:w="1728"/>
          </w:tcPr>
          <w:p>
            <w:r>
              <w:t>日期</w:t>
            </w:r>
          </w:p>
        </w:tc>
        <w:tc>
          <w:tcPr>
            <w:tcW w:type="dxa" w:w="1728"/>
          </w:tcPr>
          <w:p>
            <w:r>
              <w:t>讲师</w:t>
            </w:r>
          </w:p>
        </w:tc>
        <w:tc>
          <w:tcPr>
            <w:tcW w:type="dxa" w:w="1728"/>
          </w:tcPr>
          <w:p>
            <w:r>
              <w:t>对象</w:t>
            </w:r>
          </w:p>
        </w:tc>
        <w:tc>
          <w:tcPr>
            <w:tcW w:type="dxa" w:w="1728"/>
          </w:tcPr>
          <w:p>
            <w:r>
              <w:t>完成标准</w:t>
            </w:r>
          </w:p>
        </w:tc>
      </w:tr>
      <w:tr>
        <w:tc>
          <w:tcPr>
            <w:tcW w:type="dxa" w:w="1728"/>
          </w:tcPr>
          <w:p>
            <w:r>
              <w:t>管理层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  <w:tr>
        <w:tc>
          <w:tcPr>
            <w:tcW w:type="dxa" w:w="1728"/>
          </w:tcPr>
          <w:p>
            <w:r>
              <w:t>骨干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  <w:tr>
        <w:tc>
          <w:tcPr>
            <w:tcW w:type="dxa" w:w="1728"/>
          </w:tcPr>
          <w:p>
            <w:r>
              <w:t>全员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</w:tbl>
    <w:p/>
    <w:p>
      <w:r>
        <w:rPr>
          <w:rFonts w:ascii="PingFang SC" w:hAnsi="PingFang SC" w:eastAsia="PingFang SC"/>
          <w:b/>
          <w:color w:val="1E3A5F"/>
          <w:sz w:val="26"/>
        </w:rPr>
        <w:t>验收标准 Checklist</w:t>
      </w:r>
    </w:p>
    <w:p>
      <w:r>
        <w:rPr>
          <w:rFonts w:ascii="PingFang SC" w:hAnsi="PingFang SC" w:eastAsia="PingFang SC"/>
          <w:b w:val="0"/>
          <w:sz w:val="22"/>
        </w:rPr>
        <w:t>☐  三层目标清晰</w:t>
      </w:r>
    </w:p>
    <w:p>
      <w:r>
        <w:rPr>
          <w:rFonts w:ascii="PingFang SC" w:hAnsi="PingFang SC" w:eastAsia="PingFang SC"/>
          <w:b w:val="0"/>
          <w:sz w:val="22"/>
        </w:rPr>
        <w:t>☐  每层有完成证据</w:t>
      </w:r>
    </w:p>
    <w:p>
      <w:r>
        <w:rPr>
          <w:rFonts w:ascii="PingFang SC" w:hAnsi="PingFang SC" w:eastAsia="PingFang SC"/>
          <w:b w:val="0"/>
          <w:sz w:val="22"/>
        </w:rPr>
        <w:t>☐  不是一套课打天下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