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· 标准交付物模板</w:t>
      </w:r>
    </w:p>
    <w:p>
      <w:r>
        <w:rPr>
          <w:rFonts w:ascii="PingFang SC" w:hAnsi="PingFang SC" w:eastAsia="PingFang SC"/>
          <w:b/>
          <w:color w:val="B07D3A"/>
          <w:sz w:val="24"/>
        </w:rPr>
        <w:t>AI培训/转型 · 12</w:t>
      </w:r>
    </w:p>
    <w:p>
      <w:r>
        <w:rPr>
          <w:rFonts w:ascii="PingFang SC" w:hAnsi="PingFang SC" w:eastAsia="PingFang SC"/>
          <w:b w:val="0"/>
          <w:sz w:val="22"/>
        </w:rPr>
      </w:r>
    </w:p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《转型路线图》+《试点效果评估报告》</w:t>
      </w:r>
    </w:p>
    <w:p>
      <w:r>
        <w:rPr>
          <w:rFonts w:ascii="PingFang SC" w:hAnsi="PingFang SC" w:eastAsia="PingFang SC"/>
          <w:b w:val="0"/>
          <w:color w:val="475569"/>
          <w:sz w:val="24"/>
        </w:rPr>
        <w:t>交付效果数据，而不是“讲了几节课”</w:t>
      </w:r>
    </w:p>
    <w:p>
      <w:r>
        <w:rPr>
          <w:rFonts w:ascii="PingFang SC" w:hAnsi="PingFang SC" w:eastAsia="PingFang SC"/>
          <w:b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客户名称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项目阶段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【中国端 / 海外端】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覆盖司法辖区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版本号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保密等级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Confidential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执笔人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复核人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日期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下次复盘日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</w:tbl>
    <w:p/>
    <w:p>
      <w:r>
        <w:rPr>
          <w:rFonts w:ascii="PingFang SC" w:hAnsi="PingFang SC" w:eastAsia="PingFang SC"/>
          <w:b w:val="0"/>
          <w:color w:val="64748B"/>
          <w:sz w:val="20"/>
        </w:rPr>
        <w:t>统一结构提醒：执行摘要 → 影响分析 → 行动建议 → 验收标准</w:t>
      </w:r>
    </w:p>
    <w:p>
      <w:r>
        <w:br w:type="page"/>
      </w:r>
    </w:p>
    <w:p>
      <w:r>
        <w:rPr>
          <w:rFonts w:ascii="PingFang SC" w:hAnsi="PingFang SC" w:eastAsia="PingFang SC"/>
          <w:b/>
          <w:color w:val="0B3D5C"/>
          <w:sz w:val="32"/>
        </w:rPr>
        <w:t>Part A · 转型路线图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现状盘点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30天试点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90天扩展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半年固化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里程碑 / 责任人 / 预算 / 风险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阶段</w:t>
            </w:r>
          </w:p>
        </w:tc>
        <w:tc>
          <w:tcPr>
            <w:tcW w:type="dxa" w:w="1728"/>
          </w:tcPr>
          <w:p>
            <w:r>
              <w:t>里程碑</w:t>
            </w:r>
          </w:p>
        </w:tc>
        <w:tc>
          <w:tcPr>
            <w:tcW w:type="dxa" w:w="1728"/>
          </w:tcPr>
          <w:p>
            <w:r>
              <w:t>责任人</w:t>
            </w:r>
          </w:p>
        </w:tc>
        <w:tc>
          <w:tcPr>
            <w:tcW w:type="dxa" w:w="1728"/>
          </w:tcPr>
          <w:p>
            <w:r>
              <w:t>预算</w:t>
            </w:r>
          </w:p>
        </w:tc>
        <w:tc>
          <w:tcPr>
            <w:tcW w:type="dxa" w:w="1728"/>
          </w:tcPr>
          <w:p>
            <w:r>
              <w:t>风险</w:t>
            </w:r>
          </w:p>
        </w:tc>
      </w:tr>
      <w:tr>
        <w:tc>
          <w:tcPr>
            <w:tcW w:type="dxa" w:w="1728"/>
          </w:tcPr>
          <w:p>
            <w:r>
              <w:t>现状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  <w:tr>
        <w:tc>
          <w:tcPr>
            <w:tcW w:type="dxa" w:w="1728"/>
          </w:tcPr>
          <w:p>
            <w:r>
              <w:t>30天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  <w:tr>
        <w:tc>
          <w:tcPr>
            <w:tcW w:type="dxa" w:w="1728"/>
          </w:tcPr>
          <w:p>
            <w:r>
              <w:t>90天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  <w:tr>
        <w:tc>
          <w:tcPr>
            <w:tcW w:type="dxa" w:w="1728"/>
          </w:tcPr>
          <w:p>
            <w:r>
              <w:t>半年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  <w:tc>
          <w:tcPr>
            <w:tcW w:type="dxa" w:w="1728"/>
          </w:tcPr>
          <w:p>
            <w:r>
              <w:t>【填写】</w:t>
            </w:r>
          </w:p>
        </w:tc>
      </w:tr>
    </w:tbl>
    <w:p/>
    <w:p>
      <w:r>
        <w:rPr>
          <w:rFonts w:ascii="PingFang SC" w:hAnsi="PingFang SC" w:eastAsia="PingFang SC"/>
          <w:b/>
          <w:color w:val="0B3D5C"/>
          <w:sz w:val="32"/>
        </w:rPr>
        <w:t>Part B · 试点效果评估报告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试点岗位与流程：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改造前基线（工时 / 错误率 / 响应时效）：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改造后数据：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节省量与质量变化：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问题与改进项：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是否推广建议：是 / 否 / 有条件推广</w:t>
      </w:r>
    </w:p>
    <w:p>
      <w:r>
        <w:rPr>
          <w:rFonts w:ascii="PingFang SC" w:hAnsi="PingFang SC" w:eastAsia="PingFang SC"/>
          <w:b/>
          <w:color w:val="0B3D5C"/>
          <w:sz w:val="32"/>
        </w:rPr>
        <w:t>前后对比表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指标</w:t>
            </w:r>
          </w:p>
        </w:tc>
        <w:tc>
          <w:tcPr>
            <w:tcW w:type="dxa" w:w="2160"/>
          </w:tcPr>
          <w:p>
            <w:r>
              <w:t>改造前</w:t>
            </w:r>
          </w:p>
        </w:tc>
        <w:tc>
          <w:tcPr>
            <w:tcW w:type="dxa" w:w="2160"/>
          </w:tcPr>
          <w:p>
            <w:r>
              <w:t>改造后</w:t>
            </w:r>
          </w:p>
        </w:tc>
        <w:tc>
          <w:tcPr>
            <w:tcW w:type="dxa" w:w="2160"/>
          </w:tcPr>
          <w:p>
            <w:r>
              <w:t>变化</w:t>
            </w:r>
          </w:p>
        </w:tc>
      </w:tr>
      <w:tr>
        <w:tc>
          <w:tcPr>
            <w:tcW w:type="dxa" w:w="2160"/>
          </w:tcPr>
          <w:p>
            <w:r>
              <w:t>单次工时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  <w:tr>
        <w:tc>
          <w:tcPr>
            <w:tcW w:type="dxa" w:w="2160"/>
          </w:tcPr>
          <w:p>
            <w:r>
              <w:t>错误率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  <w:tr>
        <w:tc>
          <w:tcPr>
            <w:tcW w:type="dxa" w:w="2160"/>
          </w:tcPr>
          <w:p>
            <w:r>
              <w:t>响应时效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  <w:tc>
          <w:tcPr>
            <w:tcW w:type="dxa" w:w="2160"/>
          </w:tcPr>
          <w:p>
            <w:r>
              <w:t>【填写】</w:t>
            </w:r>
          </w:p>
        </w:tc>
      </w:tr>
    </w:tbl>
    <w:p/>
    <w:p>
      <w:r>
        <w:rPr>
          <w:rFonts w:ascii="PingFang SC" w:hAnsi="PingFang SC" w:eastAsia="PingFang SC"/>
          <w:b/>
          <w:color w:val="1E3A5F"/>
          <w:sz w:val="26"/>
        </w:rPr>
        <w:t>验收标准 Checklist</w:t>
      </w:r>
    </w:p>
    <w:p>
      <w:r>
        <w:rPr>
          <w:rFonts w:ascii="PingFang SC" w:hAnsi="PingFang SC" w:eastAsia="PingFang SC"/>
          <w:b w:val="0"/>
          <w:sz w:val="22"/>
        </w:rPr>
        <w:t>☐  有前后对比数据</w:t>
      </w:r>
    </w:p>
    <w:p>
      <w:r>
        <w:rPr>
          <w:rFonts w:ascii="PingFang SC" w:hAnsi="PingFang SC" w:eastAsia="PingFang SC"/>
          <w:b w:val="0"/>
          <w:sz w:val="22"/>
        </w:rPr>
        <w:t>☐  有是否推广结论</w:t>
      </w:r>
    </w:p>
    <w:p>
      <w:r>
        <w:rPr>
          <w:rFonts w:ascii="PingFang SC" w:hAnsi="PingFang SC" w:eastAsia="PingFang SC"/>
          <w:b w:val="0"/>
          <w:sz w:val="22"/>
        </w:rPr>
        <w:t>☐  路线图阶段清晰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